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1FD11F21" w:rsidR="00BA073E" w:rsidRPr="00D5263E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D5263E">
        <w:rPr>
          <w:b/>
          <w:sz w:val="24"/>
        </w:rPr>
        <w:t xml:space="preserve">3GPP TSG RAN WG5 Meeting </w:t>
      </w:r>
      <w:r w:rsidR="00BA073E" w:rsidRPr="00D5263E">
        <w:rPr>
          <w:b/>
          <w:noProof/>
          <w:sz w:val="24"/>
        </w:rPr>
        <w:t>#</w:t>
      </w:r>
      <w:r w:rsidR="008B3E8C" w:rsidRPr="00D5263E">
        <w:rPr>
          <w:b/>
          <w:noProof/>
          <w:sz w:val="24"/>
        </w:rPr>
        <w:t>9</w:t>
      </w:r>
      <w:r w:rsidR="00B94F51">
        <w:rPr>
          <w:b/>
          <w:noProof/>
          <w:sz w:val="24"/>
        </w:rPr>
        <w:t>8</w:t>
      </w:r>
      <w:r w:rsidR="00BA073E" w:rsidRPr="00D5263E">
        <w:rPr>
          <w:b/>
          <w:noProof/>
          <w:sz w:val="24"/>
        </w:rPr>
        <w:tab/>
      </w:r>
      <w:r w:rsidR="00BA073E" w:rsidRPr="00D5263E">
        <w:rPr>
          <w:b/>
          <w:noProof/>
          <w:sz w:val="28"/>
          <w:szCs w:val="28"/>
        </w:rPr>
        <w:t>R5-</w:t>
      </w:r>
      <w:r w:rsidR="00A50EE7">
        <w:rPr>
          <w:b/>
          <w:noProof/>
          <w:sz w:val="28"/>
          <w:szCs w:val="28"/>
        </w:rPr>
        <w:t>231046</w:t>
      </w:r>
    </w:p>
    <w:p w14:paraId="40BA94B6" w14:textId="57BE7D43" w:rsidR="00BA073E" w:rsidRPr="00D5263E" w:rsidRDefault="00B94F51" w:rsidP="00BA073E">
      <w:pPr>
        <w:pStyle w:val="Header"/>
        <w:tabs>
          <w:tab w:val="right" w:pos="10206"/>
        </w:tabs>
        <w:rPr>
          <w:sz w:val="24"/>
        </w:rPr>
      </w:pPr>
      <w:r w:rsidRPr="00B94F51">
        <w:rPr>
          <w:b w:val="0"/>
          <w:sz w:val="24"/>
        </w:rPr>
        <w:t>Athens, Greece, 27th Feb 2023 – 3rd Mar 2023</w:t>
      </w:r>
    </w:p>
    <w:p w14:paraId="50E7F1E4" w14:textId="77777777" w:rsidR="00BA073E" w:rsidRPr="00D5263E" w:rsidRDefault="00BA073E" w:rsidP="00BA073E">
      <w:pPr>
        <w:pStyle w:val="FP"/>
      </w:pPr>
    </w:p>
    <w:p w14:paraId="6D37A79E" w14:textId="4BB25DB6" w:rsidR="00BA073E" w:rsidRPr="00C25650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D5263E">
        <w:rPr>
          <w:rFonts w:ascii="Arial" w:hAnsi="Arial"/>
          <w:b/>
          <w:sz w:val="24"/>
        </w:rPr>
        <w:t>Agenda Item:</w:t>
      </w:r>
      <w:r w:rsidRPr="00D5263E">
        <w:rPr>
          <w:rFonts w:ascii="Arial" w:hAnsi="Arial"/>
          <w:sz w:val="24"/>
        </w:rPr>
        <w:tab/>
      </w:r>
      <w:r w:rsidR="00CD1295" w:rsidRPr="00C25650">
        <w:rPr>
          <w:rFonts w:ascii="Arial" w:hAnsi="Arial"/>
          <w:sz w:val="24"/>
        </w:rPr>
        <w:t>6.</w:t>
      </w:r>
      <w:r w:rsidR="00A50EE7" w:rsidRPr="00C25650">
        <w:rPr>
          <w:rFonts w:ascii="Arial" w:hAnsi="Arial"/>
          <w:sz w:val="24"/>
        </w:rPr>
        <w:t>4</w:t>
      </w:r>
      <w:r w:rsidR="00CD1295" w:rsidRPr="00C25650">
        <w:rPr>
          <w:rFonts w:ascii="Arial" w:hAnsi="Arial"/>
          <w:sz w:val="24"/>
        </w:rPr>
        <w:t>.</w:t>
      </w:r>
      <w:r w:rsidR="00A50EE7" w:rsidRPr="00C25650">
        <w:rPr>
          <w:rFonts w:ascii="Arial" w:hAnsi="Arial"/>
          <w:sz w:val="24"/>
        </w:rPr>
        <w:t>7</w:t>
      </w:r>
    </w:p>
    <w:p w14:paraId="0B2658E7" w14:textId="77777777" w:rsidR="00BA073E" w:rsidRPr="00D461C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C25650">
        <w:rPr>
          <w:rFonts w:ascii="Arial" w:hAnsi="Arial"/>
          <w:b/>
          <w:sz w:val="24"/>
        </w:rPr>
        <w:t>Source:</w:t>
      </w:r>
      <w:r w:rsidRPr="00C25650">
        <w:rPr>
          <w:rFonts w:ascii="Arial" w:hAnsi="Arial"/>
          <w:b/>
          <w:sz w:val="24"/>
        </w:rPr>
        <w:tab/>
      </w:r>
      <w:r w:rsidR="00962902" w:rsidRPr="00C25650">
        <w:rPr>
          <w:rFonts w:ascii="Arial" w:hAnsi="Arial" w:cs="Arial"/>
          <w:sz w:val="24"/>
        </w:rPr>
        <w:t>Ericsson</w:t>
      </w:r>
    </w:p>
    <w:p w14:paraId="592D5D2C" w14:textId="40284545" w:rsidR="00BA073E" w:rsidRPr="00D461C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D461CB">
        <w:rPr>
          <w:rFonts w:ascii="Arial" w:hAnsi="Arial"/>
          <w:b/>
          <w:sz w:val="24"/>
        </w:rPr>
        <w:t>Title:</w:t>
      </w:r>
      <w:r w:rsidRPr="00D461CB">
        <w:rPr>
          <w:rFonts w:ascii="Arial" w:hAnsi="Arial"/>
          <w:sz w:val="24"/>
        </w:rPr>
        <w:tab/>
      </w:r>
      <w:r w:rsidR="00B94F51">
        <w:rPr>
          <w:rFonts w:ascii="Arial" w:hAnsi="Arial"/>
          <w:sz w:val="24"/>
        </w:rPr>
        <w:t>ASN.1</w:t>
      </w:r>
      <w:r w:rsidR="00B94F51" w:rsidRPr="00B94F51">
        <w:rPr>
          <w:rFonts w:ascii="Arial" w:hAnsi="Arial"/>
          <w:sz w:val="24"/>
        </w:rPr>
        <w:t xml:space="preserve"> extension groups in default information elements contents</w:t>
      </w:r>
    </w:p>
    <w:p w14:paraId="3C5C5739" w14:textId="77777777" w:rsidR="004D33CC" w:rsidRPr="00D461C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D461CB">
        <w:rPr>
          <w:rFonts w:ascii="Arial" w:hAnsi="Arial"/>
          <w:b/>
          <w:sz w:val="24"/>
        </w:rPr>
        <w:t>Document for:</w:t>
      </w:r>
      <w:r w:rsidR="00BA2B03" w:rsidRPr="00D461CB">
        <w:rPr>
          <w:rFonts w:ascii="Arial" w:hAnsi="Arial"/>
          <w:sz w:val="24"/>
        </w:rPr>
        <w:tab/>
        <w:t>Endorsement</w:t>
      </w:r>
    </w:p>
    <w:p w14:paraId="6D6CE28E" w14:textId="190606F9" w:rsidR="00892E18" w:rsidRPr="00D461CB" w:rsidRDefault="000F0ECA" w:rsidP="00892E18">
      <w:pPr>
        <w:pStyle w:val="Heading1"/>
      </w:pPr>
      <w:r w:rsidRPr="00D461CB">
        <w:t>1</w:t>
      </w:r>
      <w:r w:rsidRPr="00D461CB">
        <w:tab/>
        <w:t>Introduction</w:t>
      </w:r>
    </w:p>
    <w:p w14:paraId="58DD10BB" w14:textId="2241305E" w:rsidR="002A7AE7" w:rsidRDefault="00B648B0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B648B0">
        <w:rPr>
          <w:noProof/>
          <w:lang w:eastAsia="ja-JP"/>
        </w:rPr>
        <w:t xml:space="preserve">The </w:t>
      </w:r>
      <w:r>
        <w:rPr>
          <w:noProof/>
          <w:lang w:eastAsia="ja-JP"/>
        </w:rPr>
        <w:t xml:space="preserve">content of  RRC is specified using ASN.1 by RAN2. </w:t>
      </w:r>
      <w:r w:rsidRPr="00B648B0">
        <w:rPr>
          <w:noProof/>
          <w:lang w:eastAsia="ja-JP"/>
        </w:rPr>
        <w:t xml:space="preserve">According to TS </w:t>
      </w:r>
      <w:r>
        <w:rPr>
          <w:noProof/>
          <w:lang w:eastAsia="ja-JP"/>
        </w:rPr>
        <w:t>38</w:t>
      </w:r>
      <w:r w:rsidRPr="00B648B0">
        <w:rPr>
          <w:noProof/>
          <w:lang w:eastAsia="ja-JP"/>
        </w:rPr>
        <w:t>.</w:t>
      </w:r>
      <w:r>
        <w:rPr>
          <w:noProof/>
          <w:lang w:eastAsia="ja-JP"/>
        </w:rPr>
        <w:t>331</w:t>
      </w:r>
      <w:r w:rsidRPr="00B648B0">
        <w:rPr>
          <w:noProof/>
          <w:lang w:eastAsia="ja-JP"/>
        </w:rPr>
        <w:t xml:space="preserve"> [</w:t>
      </w:r>
      <w:r>
        <w:rPr>
          <w:noProof/>
          <w:lang w:eastAsia="ja-JP"/>
        </w:rPr>
        <w:t>1</w:t>
      </w:r>
      <w:r w:rsidRPr="00B648B0">
        <w:rPr>
          <w:noProof/>
          <w:lang w:eastAsia="ja-JP"/>
        </w:rPr>
        <w:t xml:space="preserve">], </w:t>
      </w:r>
      <w:r>
        <w:rPr>
          <w:noProof/>
          <w:lang w:eastAsia="ja-JP"/>
        </w:rPr>
        <w:t>6</w:t>
      </w:r>
      <w:r w:rsidR="001D29B2">
        <w:rPr>
          <w:noProof/>
          <w:lang w:eastAsia="ja-JP"/>
        </w:rPr>
        <w:t xml:space="preserve"> and annex A. </w:t>
      </w:r>
      <w:r w:rsidR="002A7AE7">
        <w:rPr>
          <w:noProof/>
          <w:lang w:eastAsia="ja-JP"/>
        </w:rPr>
        <w:t xml:space="preserve">Some extracts for information </w:t>
      </w:r>
    </w:p>
    <w:p w14:paraId="606E0828" w14:textId="77777777" w:rsidR="002A7AE7" w:rsidRDefault="002A7AE7" w:rsidP="002A7AE7">
      <w:pPr>
        <w:jc w:val="both"/>
        <w:rPr>
          <w:lang w:eastAsia="ja-JP"/>
        </w:rPr>
      </w:pPr>
      <w:r>
        <w:rPr>
          <w:lang w:eastAsia="ja-JP"/>
        </w:rPr>
        <w:t>“</w:t>
      </w:r>
      <w:r w:rsidRPr="002A7AE7">
        <w:rPr>
          <w:lang w:eastAsia="ja-JP"/>
        </w:rPr>
        <w:t>6.1.2</w:t>
      </w:r>
      <w:r w:rsidRPr="002A7AE7">
        <w:rPr>
          <w:lang w:eastAsia="ja-JP"/>
        </w:rPr>
        <w:tab/>
        <w:t>Need codes and conditions for optional fields</w:t>
      </w:r>
    </w:p>
    <w:p w14:paraId="2C94B845" w14:textId="2E796249" w:rsidR="002A7AE7" w:rsidRDefault="002A7AE7" w:rsidP="002A7AE7">
      <w:pPr>
        <w:jc w:val="both"/>
        <w:rPr>
          <w:lang w:eastAsia="ja-JP"/>
        </w:rPr>
      </w:pPr>
      <w:r>
        <w:rPr>
          <w:lang w:eastAsia="ja-JP"/>
        </w:rPr>
        <w:t xml:space="preserve">… </w:t>
      </w:r>
      <w:r w:rsidRPr="002A7AE7">
        <w:rPr>
          <w:lang w:eastAsia="ja-JP"/>
        </w:rPr>
        <w:t>groups of non-critical extensions using double brackets (referred to as extension groups)</w:t>
      </w:r>
      <w:r>
        <w:rPr>
          <w:lang w:eastAsia="ja-JP"/>
        </w:rPr>
        <w:t>”</w:t>
      </w:r>
    </w:p>
    <w:p w14:paraId="711B7E43" w14:textId="77777777" w:rsidR="001D29B2" w:rsidRDefault="001D29B2" w:rsidP="001D29B2">
      <w:pPr>
        <w:jc w:val="both"/>
        <w:rPr>
          <w:lang w:eastAsia="ja-JP"/>
        </w:rPr>
      </w:pPr>
      <w:r>
        <w:rPr>
          <w:lang w:eastAsia="ja-JP"/>
        </w:rPr>
        <w:t xml:space="preserve">“A.3.3 </w:t>
      </w:r>
      <w:r w:rsidRPr="002A7AE7">
        <w:rPr>
          <w:lang w:eastAsia="ja-JP"/>
        </w:rPr>
        <w:t>Message definition</w:t>
      </w:r>
    </w:p>
    <w:p w14:paraId="46C7C00F" w14:textId="77777777" w:rsidR="001D29B2" w:rsidRDefault="001D29B2" w:rsidP="001D29B2">
      <w:pPr>
        <w:jc w:val="both"/>
        <w:rPr>
          <w:lang w:eastAsia="ja-JP"/>
        </w:rPr>
      </w:pPr>
      <w:r>
        <w:rPr>
          <w:lang w:eastAsia="ja-JP"/>
        </w:rPr>
        <w:t>…</w:t>
      </w:r>
      <w:r w:rsidRPr="002A7AE7">
        <w:rPr>
          <w:lang w:eastAsia="ja-JP"/>
        </w:rPr>
        <w:t xml:space="preserve"> </w:t>
      </w:r>
      <w:r w:rsidRPr="00714FE6">
        <w:rPr>
          <w:lang w:eastAsia="ja-JP"/>
        </w:rPr>
        <w:t>Non-critical extensions are characterised by the addition of new information to the original specification of the PDU type. If not comprehended, a non-critical extension may be skipped by the decoder, whilst the decoder is still able to complete the decoding of the comprehended parts of the PDU contents.</w:t>
      </w:r>
      <w:r>
        <w:rPr>
          <w:lang w:eastAsia="ja-JP"/>
        </w:rPr>
        <w:t>”</w:t>
      </w:r>
    </w:p>
    <w:p w14:paraId="1ADC20AF" w14:textId="59F15D3E" w:rsidR="002A7AE7" w:rsidRDefault="002A7AE7" w:rsidP="002A7AE7">
      <w:pPr>
        <w:jc w:val="both"/>
        <w:rPr>
          <w:lang w:eastAsia="ja-JP"/>
        </w:rPr>
      </w:pPr>
      <w:r>
        <w:rPr>
          <w:lang w:eastAsia="ja-JP"/>
        </w:rPr>
        <w:t xml:space="preserve">“A.4.1 </w:t>
      </w:r>
      <w:r w:rsidRPr="00714FE6">
        <w:rPr>
          <w:lang w:eastAsia="ja-JP"/>
        </w:rPr>
        <w:t>General principles to ensure compatibility</w:t>
      </w:r>
    </w:p>
    <w:p w14:paraId="6F72EF15" w14:textId="404D4D73" w:rsidR="002A7AE7" w:rsidRDefault="002A7AE7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714FE6">
        <w:rPr>
          <w:lang w:eastAsia="ja-JP"/>
        </w:rPr>
        <w:t>The non-critical extension mechanism is the primary mechanism for introducing protocol extensions</w:t>
      </w:r>
      <w:r>
        <w:rPr>
          <w:lang w:eastAsia="ja-JP"/>
        </w:rPr>
        <w:t>…”</w:t>
      </w:r>
    </w:p>
    <w:p w14:paraId="34764698" w14:textId="601CA762" w:rsidR="002A7AE7" w:rsidRDefault="001D29B2" w:rsidP="002A7AE7">
      <w:pPr>
        <w:jc w:val="both"/>
        <w:rPr>
          <w:lang w:eastAsia="ja-JP"/>
        </w:rPr>
      </w:pPr>
      <w:r>
        <w:rPr>
          <w:lang w:eastAsia="ja-JP"/>
        </w:rPr>
        <w:t>“</w:t>
      </w:r>
      <w:r w:rsidR="002A7AE7">
        <w:rPr>
          <w:lang w:eastAsia="ja-JP"/>
        </w:rPr>
        <w:t xml:space="preserve">A.4.3.1 </w:t>
      </w:r>
      <w:r w:rsidR="002A7AE7" w:rsidRPr="002A7AE7">
        <w:rPr>
          <w:lang w:eastAsia="ja-JP"/>
        </w:rPr>
        <w:t>General principles</w:t>
      </w:r>
    </w:p>
    <w:p w14:paraId="387F1115" w14:textId="28539DB3" w:rsidR="002A7AE7" w:rsidRDefault="002A7AE7" w:rsidP="002A7AE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77A46">
        <w:rPr>
          <w:lang w:eastAsia="ja-JP"/>
        </w:rPr>
        <w:t xml:space="preserve">The mechanisms to extend a message in a non-critical manner are defined in A.3.3. </w:t>
      </w:r>
      <w:proofErr w:type="spellStart"/>
      <w:r w:rsidRPr="00F77A46">
        <w:rPr>
          <w:lang w:eastAsia="ja-JP"/>
        </w:rPr>
        <w:t>W.r.t.</w:t>
      </w:r>
      <w:proofErr w:type="spellEnd"/>
      <w:r w:rsidRPr="00F77A46">
        <w:rPr>
          <w:lang w:eastAsia="ja-JP"/>
        </w:rPr>
        <w:t xml:space="preserve"> the use of extension markers, the following additional guidelines apply:</w:t>
      </w:r>
    </w:p>
    <w:p w14:paraId="2AD5B45F" w14:textId="49AB2166" w:rsidR="002A7AE7" w:rsidRDefault="002A7AE7" w:rsidP="002A7AE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…</w:t>
      </w:r>
    </w:p>
    <w:p w14:paraId="7DBF20A0" w14:textId="64D18115" w:rsidR="002A7AE7" w:rsidRDefault="002A7AE7" w:rsidP="002A7AE7">
      <w:pPr>
        <w:jc w:val="both"/>
        <w:rPr>
          <w:lang w:eastAsia="ja-JP"/>
        </w:rPr>
      </w:pPr>
      <w:r w:rsidRPr="00B55E3E">
        <w:t>The extension marker ("...") is the primary non-critical extension mechanism that is used</w:t>
      </w:r>
      <w:r>
        <w:t>”</w:t>
      </w:r>
    </w:p>
    <w:p w14:paraId="29890132" w14:textId="67196823" w:rsidR="00407E61" w:rsidRPr="00D461CB" w:rsidRDefault="00BA2B03" w:rsidP="00407E61">
      <w:pPr>
        <w:pStyle w:val="Heading1"/>
      </w:pPr>
      <w:r w:rsidRPr="00D461CB">
        <w:t>2</w:t>
      </w:r>
      <w:r w:rsidRPr="00D461CB">
        <w:tab/>
        <w:t>Discussion</w:t>
      </w:r>
    </w:p>
    <w:p w14:paraId="779E2557" w14:textId="48BFCB8D" w:rsidR="003D66A4" w:rsidRPr="00D461CB" w:rsidRDefault="00A10302" w:rsidP="00407E61">
      <w:pPr>
        <w:jc w:val="both"/>
        <w:rPr>
          <w:b/>
        </w:rPr>
      </w:pPr>
      <w:r>
        <w:rPr>
          <w:b/>
        </w:rPr>
        <w:t xml:space="preserve">TS 38.508-1 </w:t>
      </w:r>
      <w:r w:rsidRPr="00A10302">
        <w:rPr>
          <w:b/>
        </w:rPr>
        <w:t>Default NG-RAN RRC message and information elements contents</w:t>
      </w:r>
    </w:p>
    <w:p w14:paraId="7DBE5B0E" w14:textId="59C498F6" w:rsidR="00A10302" w:rsidRDefault="00A10302" w:rsidP="005D28E4">
      <w:pPr>
        <w:jc w:val="both"/>
        <w:rPr>
          <w:bCs/>
        </w:rPr>
      </w:pPr>
      <w:r>
        <w:rPr>
          <w:bCs/>
        </w:rPr>
        <w:t xml:space="preserve">Specifically, the clause </w:t>
      </w:r>
      <w:r w:rsidRPr="00A10302">
        <w:rPr>
          <w:bCs/>
        </w:rPr>
        <w:t>4.6.3</w:t>
      </w:r>
      <w:r>
        <w:rPr>
          <w:bCs/>
        </w:rPr>
        <w:t xml:space="preserve"> </w:t>
      </w:r>
      <w:r w:rsidRPr="00A10302">
        <w:rPr>
          <w:bCs/>
        </w:rPr>
        <w:t xml:space="preserve">Radio resource control information elements </w:t>
      </w:r>
      <w:r>
        <w:rPr>
          <w:bCs/>
        </w:rPr>
        <w:t xml:space="preserve">should include ASN.1 fields and values used by normally more than one test case. </w:t>
      </w:r>
      <w:r w:rsidR="004F1B55">
        <w:rPr>
          <w:bCs/>
        </w:rPr>
        <w:t>Unused</w:t>
      </w:r>
      <w:r>
        <w:rPr>
          <w:bCs/>
        </w:rPr>
        <w:t xml:space="preserve"> </w:t>
      </w:r>
      <w:r w:rsidR="004F1B55">
        <w:rPr>
          <w:bCs/>
        </w:rPr>
        <w:t>n</w:t>
      </w:r>
      <w:r w:rsidR="004F1B55" w:rsidRPr="004F1B55">
        <w:rPr>
          <w:bCs/>
        </w:rPr>
        <w:t>on-critical extensions</w:t>
      </w:r>
      <w:r w:rsidR="004F1B55">
        <w:rPr>
          <w:bCs/>
        </w:rPr>
        <w:t xml:space="preserve"> provide no valuable information. </w:t>
      </w:r>
    </w:p>
    <w:p w14:paraId="60D5C6AE" w14:textId="37F7AA8D" w:rsidR="004F1B55" w:rsidRPr="004F1B55" w:rsidRDefault="004F1B55" w:rsidP="004F1B55">
      <w:pPr>
        <w:jc w:val="both"/>
        <w:rPr>
          <w:bCs/>
        </w:rPr>
      </w:pPr>
      <w:r>
        <w:rPr>
          <w:bCs/>
        </w:rPr>
        <w:t>A subset of mainly rel-16 and rel-17 optional and not used ASN.1 fields (</w:t>
      </w:r>
      <w:r w:rsidRPr="004F1B55">
        <w:rPr>
          <w:bCs/>
        </w:rPr>
        <w:t>TS 38.331 [1]</w:t>
      </w:r>
      <w:r>
        <w:rPr>
          <w:bCs/>
        </w:rPr>
        <w:t>, 6.3) have been added. More features will be discussed and a guideline for maintenance purpose should be agreed.</w:t>
      </w:r>
    </w:p>
    <w:p w14:paraId="4C5210B3" w14:textId="57EAAC03" w:rsidR="00D461CB" w:rsidRDefault="00281CE7" w:rsidP="00A22D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61CB">
        <w:rPr>
          <w:b/>
          <w:bCs/>
          <w:lang w:eastAsia="en-GB"/>
        </w:rPr>
        <w:t>Observation 2-1</w:t>
      </w:r>
      <w:r w:rsidRPr="00D461CB">
        <w:rPr>
          <w:lang w:eastAsia="en-GB"/>
        </w:rPr>
        <w:t xml:space="preserve">: </w:t>
      </w:r>
    </w:p>
    <w:p w14:paraId="5DF79BA7" w14:textId="23A8E958" w:rsidR="00281CE7" w:rsidRPr="00D461CB" w:rsidRDefault="00A10302" w:rsidP="00A22D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Several</w:t>
      </w:r>
      <w:r w:rsidR="00A50EE7">
        <w:rPr>
          <w:lang w:eastAsia="en-GB"/>
        </w:rPr>
        <w:t xml:space="preserve"> non-used </w:t>
      </w:r>
      <w:bookmarkStart w:id="1" w:name="_Hlk127524878"/>
      <w:r w:rsidR="00A50EE7" w:rsidRPr="00A50EE7">
        <w:rPr>
          <w:lang w:eastAsia="en-GB"/>
        </w:rPr>
        <w:t>extension groups</w:t>
      </w:r>
      <w:r w:rsidR="00A50EE7">
        <w:rPr>
          <w:lang w:eastAsia="en-GB"/>
        </w:rPr>
        <w:t xml:space="preserve"> </w:t>
      </w:r>
      <w:bookmarkEnd w:id="1"/>
      <w:r w:rsidR="00A50EE7">
        <w:rPr>
          <w:lang w:eastAsia="en-GB"/>
        </w:rPr>
        <w:t xml:space="preserve">are present in the default common test environment. </w:t>
      </w:r>
    </w:p>
    <w:p w14:paraId="6E8271CC" w14:textId="77777777" w:rsidR="00D461CB" w:rsidRDefault="00A22D2D" w:rsidP="00A22D2D">
      <w:pPr>
        <w:overflowPunct w:val="0"/>
        <w:autoSpaceDE w:val="0"/>
        <w:autoSpaceDN w:val="0"/>
        <w:adjustRightInd w:val="0"/>
        <w:textAlignment w:val="baseline"/>
      </w:pPr>
      <w:r w:rsidRPr="00D461CB">
        <w:rPr>
          <w:b/>
          <w:bCs/>
        </w:rPr>
        <w:t>Proposal 2-1</w:t>
      </w:r>
      <w:r w:rsidRPr="00D461CB">
        <w:t>:</w:t>
      </w:r>
      <w:r w:rsidR="00D461CB">
        <w:t xml:space="preserve"> </w:t>
      </w:r>
    </w:p>
    <w:p w14:paraId="157F6397" w14:textId="148ED580" w:rsidR="00A22D2D" w:rsidRPr="00D461CB" w:rsidRDefault="00A50EE7" w:rsidP="00A22D2D">
      <w:pPr>
        <w:overflowPunct w:val="0"/>
        <w:autoSpaceDE w:val="0"/>
        <w:autoSpaceDN w:val="0"/>
        <w:adjustRightInd w:val="0"/>
        <w:textAlignment w:val="baseline"/>
      </w:pPr>
      <w:r>
        <w:rPr>
          <w:lang w:eastAsia="en-GB"/>
        </w:rPr>
        <w:t xml:space="preserve">To </w:t>
      </w:r>
      <w:r w:rsidR="00A10302">
        <w:rPr>
          <w:lang w:eastAsia="en-GB"/>
        </w:rPr>
        <w:t xml:space="preserve">not </w:t>
      </w:r>
      <w:r w:rsidR="00C25650">
        <w:rPr>
          <w:lang w:eastAsia="en-GB"/>
        </w:rPr>
        <w:t>include</w:t>
      </w:r>
      <w:r w:rsidR="00A10302">
        <w:rPr>
          <w:lang w:eastAsia="en-GB"/>
        </w:rPr>
        <w:t xml:space="preserve"> any non-used</w:t>
      </w:r>
      <w:r>
        <w:rPr>
          <w:lang w:eastAsia="en-GB"/>
        </w:rPr>
        <w:t xml:space="preserve"> </w:t>
      </w:r>
      <w:r w:rsidR="00A10302" w:rsidRPr="00A10302">
        <w:rPr>
          <w:lang w:eastAsia="en-GB"/>
        </w:rPr>
        <w:t>extension groups</w:t>
      </w:r>
      <w:r w:rsidR="00A10302">
        <w:rPr>
          <w:lang w:eastAsia="en-GB"/>
        </w:rPr>
        <w:t xml:space="preserve"> in the c</w:t>
      </w:r>
      <w:r w:rsidR="00A10302" w:rsidRPr="00A10302">
        <w:rPr>
          <w:lang w:eastAsia="en-GB"/>
        </w:rPr>
        <w:t>ommon test environment</w:t>
      </w:r>
      <w:r w:rsidR="00A10302">
        <w:rPr>
          <w:lang w:eastAsia="en-GB"/>
        </w:rPr>
        <w:t xml:space="preserve"> [2].</w:t>
      </w:r>
    </w:p>
    <w:p w14:paraId="3078DC53" w14:textId="77777777" w:rsidR="000F0ECA" w:rsidRPr="00D461CB" w:rsidRDefault="000F0ECA" w:rsidP="000F0ECA">
      <w:pPr>
        <w:pStyle w:val="Heading1"/>
      </w:pPr>
      <w:r w:rsidRPr="00D461CB">
        <w:lastRenderedPageBreak/>
        <w:t>3</w:t>
      </w:r>
      <w:r w:rsidRPr="00D461CB">
        <w:tab/>
        <w:t>Proposal</w:t>
      </w:r>
    </w:p>
    <w:p w14:paraId="27A93C83" w14:textId="1B94500C" w:rsidR="000F0ECA" w:rsidRPr="00D461CB" w:rsidRDefault="000F0ECA" w:rsidP="000F0ECA">
      <w:r w:rsidRPr="00D461CB">
        <w:t>It’s proposed</w:t>
      </w:r>
      <w:r w:rsidR="00D2656C" w:rsidRPr="00D461CB">
        <w:t xml:space="preserve"> to implement the proposal 2-1</w:t>
      </w:r>
      <w:r w:rsidR="00A22D2D" w:rsidRPr="00D461CB">
        <w:t>.</w:t>
      </w:r>
    </w:p>
    <w:p w14:paraId="228337B2" w14:textId="77777777" w:rsidR="000F0ECA" w:rsidRPr="00D461CB" w:rsidRDefault="000F0ECA" w:rsidP="000F0ECA">
      <w:pPr>
        <w:pStyle w:val="Heading1"/>
      </w:pPr>
      <w:r w:rsidRPr="00D461CB">
        <w:t>4</w:t>
      </w:r>
      <w:r w:rsidRPr="00D461CB">
        <w:tab/>
        <w:t>References</w:t>
      </w:r>
    </w:p>
    <w:bookmarkEnd w:id="0"/>
    <w:p w14:paraId="1EFC73CB" w14:textId="6A954A32" w:rsidR="00CD1295" w:rsidRPr="00D461CB" w:rsidRDefault="00D261A5" w:rsidP="00D261A5">
      <w:r w:rsidRPr="00D461CB">
        <w:rPr>
          <w:noProof/>
          <w:lang w:val="en-US"/>
        </w:rPr>
        <w:t xml:space="preserve">[1] </w:t>
      </w:r>
      <w:r w:rsidR="00B94F51" w:rsidRPr="00E45426">
        <w:t>3GPP TS 38.331: "NR; Radio Resource Control (RRC); Protocol specification".</w:t>
      </w:r>
    </w:p>
    <w:p w14:paraId="74B5876F" w14:textId="2E95BFB6" w:rsidR="003642EC" w:rsidRPr="00CD1295" w:rsidRDefault="003642EC" w:rsidP="003642EC">
      <w:r w:rsidRPr="00D461CB">
        <w:rPr>
          <w:noProof/>
          <w:lang w:val="en-US"/>
        </w:rPr>
        <w:t xml:space="preserve">[2] </w:t>
      </w:r>
      <w:r w:rsidR="00A10302" w:rsidRPr="00A10302">
        <w:t>3GPP TS 38.508-1: "5GS; User Equipment (UE) conformance specification; Part 1:</w:t>
      </w:r>
      <w:bookmarkStart w:id="2" w:name="_Hlk127524898"/>
      <w:r w:rsidR="00A10302" w:rsidRPr="00A10302">
        <w:t xml:space="preserve"> Common test environment</w:t>
      </w:r>
      <w:bookmarkEnd w:id="2"/>
      <w:r w:rsidR="00A10302" w:rsidRPr="00A10302">
        <w:t>".</w:t>
      </w:r>
    </w:p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204DD" w14:textId="77777777" w:rsidR="00746A30" w:rsidRDefault="00746A30">
      <w:r>
        <w:separator/>
      </w:r>
    </w:p>
  </w:endnote>
  <w:endnote w:type="continuationSeparator" w:id="0">
    <w:p w14:paraId="6C248BA4" w14:textId="77777777" w:rsidR="00746A30" w:rsidRDefault="0074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1A459" w14:textId="77777777" w:rsidR="00746A30" w:rsidRDefault="00746A30">
      <w:r>
        <w:separator/>
      </w:r>
    </w:p>
  </w:footnote>
  <w:footnote w:type="continuationSeparator" w:id="0">
    <w:p w14:paraId="4D69A935" w14:textId="77777777" w:rsidR="00746A30" w:rsidRDefault="00746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6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19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0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8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7"/>
  </w:num>
  <w:num w:numId="20" w16cid:durableId="1079406248">
    <w:abstractNumId w:val="15"/>
  </w:num>
  <w:num w:numId="21" w16cid:durableId="1418330840">
    <w:abstractNumId w:val="3"/>
  </w:num>
  <w:num w:numId="22" w16cid:durableId="1999266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21A2"/>
    <w:rsid w:val="000C671F"/>
    <w:rsid w:val="000D0D95"/>
    <w:rsid w:val="000D58AB"/>
    <w:rsid w:val="000E6286"/>
    <w:rsid w:val="000E69C2"/>
    <w:rsid w:val="000F0ECA"/>
    <w:rsid w:val="000F6FD4"/>
    <w:rsid w:val="00103618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9111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2E67"/>
    <w:rsid w:val="00223E31"/>
    <w:rsid w:val="002347A2"/>
    <w:rsid w:val="00243E1C"/>
    <w:rsid w:val="0024670C"/>
    <w:rsid w:val="00246B77"/>
    <w:rsid w:val="002667B5"/>
    <w:rsid w:val="0027477D"/>
    <w:rsid w:val="00281CE7"/>
    <w:rsid w:val="00283A00"/>
    <w:rsid w:val="00296681"/>
    <w:rsid w:val="00297B93"/>
    <w:rsid w:val="002A1AC4"/>
    <w:rsid w:val="002A4CF6"/>
    <w:rsid w:val="002A4E3E"/>
    <w:rsid w:val="002A55C3"/>
    <w:rsid w:val="002A7AE7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72DC"/>
    <w:rsid w:val="003214C7"/>
    <w:rsid w:val="003234FB"/>
    <w:rsid w:val="00331C9E"/>
    <w:rsid w:val="003323F7"/>
    <w:rsid w:val="00337579"/>
    <w:rsid w:val="003449D3"/>
    <w:rsid w:val="00345F98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B1069"/>
    <w:rsid w:val="003C38D3"/>
    <w:rsid w:val="003C3971"/>
    <w:rsid w:val="003D21DC"/>
    <w:rsid w:val="003D66A4"/>
    <w:rsid w:val="003E0B5A"/>
    <w:rsid w:val="003F1735"/>
    <w:rsid w:val="003F56A6"/>
    <w:rsid w:val="00403EC3"/>
    <w:rsid w:val="004068D1"/>
    <w:rsid w:val="004076BC"/>
    <w:rsid w:val="00407E61"/>
    <w:rsid w:val="004129AD"/>
    <w:rsid w:val="004144BC"/>
    <w:rsid w:val="004178E6"/>
    <w:rsid w:val="00421168"/>
    <w:rsid w:val="00427A16"/>
    <w:rsid w:val="00431C7B"/>
    <w:rsid w:val="004338A3"/>
    <w:rsid w:val="00463D69"/>
    <w:rsid w:val="00475FB7"/>
    <w:rsid w:val="004774A9"/>
    <w:rsid w:val="004859DE"/>
    <w:rsid w:val="00491780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47D3"/>
    <w:rsid w:val="00540EEE"/>
    <w:rsid w:val="005414EF"/>
    <w:rsid w:val="00541788"/>
    <w:rsid w:val="00543E6C"/>
    <w:rsid w:val="00545A21"/>
    <w:rsid w:val="00546838"/>
    <w:rsid w:val="00553A83"/>
    <w:rsid w:val="00565087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8E4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79D7"/>
    <w:rsid w:val="006D15F9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51F4B"/>
    <w:rsid w:val="00754E21"/>
    <w:rsid w:val="0076012D"/>
    <w:rsid w:val="007627B1"/>
    <w:rsid w:val="00774F02"/>
    <w:rsid w:val="00776A13"/>
    <w:rsid w:val="00781F0F"/>
    <w:rsid w:val="00781F96"/>
    <w:rsid w:val="00786382"/>
    <w:rsid w:val="00792622"/>
    <w:rsid w:val="00796E92"/>
    <w:rsid w:val="00797BB2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470A"/>
    <w:rsid w:val="00895935"/>
    <w:rsid w:val="008A0165"/>
    <w:rsid w:val="008A47E3"/>
    <w:rsid w:val="008A7AD2"/>
    <w:rsid w:val="008B3E8C"/>
    <w:rsid w:val="008C03B2"/>
    <w:rsid w:val="008C7BA2"/>
    <w:rsid w:val="008D48BC"/>
    <w:rsid w:val="008D55D1"/>
    <w:rsid w:val="008D7350"/>
    <w:rsid w:val="008D7CD1"/>
    <w:rsid w:val="0090271F"/>
    <w:rsid w:val="00902E23"/>
    <w:rsid w:val="0091348E"/>
    <w:rsid w:val="00917CCB"/>
    <w:rsid w:val="009222C6"/>
    <w:rsid w:val="009310DE"/>
    <w:rsid w:val="00941A0B"/>
    <w:rsid w:val="009421B6"/>
    <w:rsid w:val="0094268B"/>
    <w:rsid w:val="00942EC2"/>
    <w:rsid w:val="0094389A"/>
    <w:rsid w:val="00943FDB"/>
    <w:rsid w:val="00952706"/>
    <w:rsid w:val="0095713D"/>
    <w:rsid w:val="00961CD4"/>
    <w:rsid w:val="00962902"/>
    <w:rsid w:val="009765D4"/>
    <w:rsid w:val="00981286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8A9"/>
    <w:rsid w:val="00A35776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5051"/>
    <w:rsid w:val="00B5787F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C020A7"/>
    <w:rsid w:val="00C05FF9"/>
    <w:rsid w:val="00C062D0"/>
    <w:rsid w:val="00C1096E"/>
    <w:rsid w:val="00C25650"/>
    <w:rsid w:val="00C33079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692C"/>
    <w:rsid w:val="00CF6C9F"/>
    <w:rsid w:val="00D01B10"/>
    <w:rsid w:val="00D114E6"/>
    <w:rsid w:val="00D128CB"/>
    <w:rsid w:val="00D16F4F"/>
    <w:rsid w:val="00D21A8C"/>
    <w:rsid w:val="00D21DB9"/>
    <w:rsid w:val="00D261A5"/>
    <w:rsid w:val="00D2656C"/>
    <w:rsid w:val="00D4582A"/>
    <w:rsid w:val="00D461CB"/>
    <w:rsid w:val="00D4634E"/>
    <w:rsid w:val="00D503D2"/>
    <w:rsid w:val="00D5263E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5753E"/>
    <w:rsid w:val="00E61B20"/>
    <w:rsid w:val="00E72015"/>
    <w:rsid w:val="00E762CD"/>
    <w:rsid w:val="00E77645"/>
    <w:rsid w:val="00E85446"/>
    <w:rsid w:val="00E966D6"/>
    <w:rsid w:val="00EA378D"/>
    <w:rsid w:val="00EA77B3"/>
    <w:rsid w:val="00EB1200"/>
    <w:rsid w:val="00EB4B54"/>
    <w:rsid w:val="00EB736F"/>
    <w:rsid w:val="00EC4A25"/>
    <w:rsid w:val="00EE43F8"/>
    <w:rsid w:val="00EE497A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77A46"/>
    <w:rsid w:val="00F82E88"/>
    <w:rsid w:val="00F8698D"/>
    <w:rsid w:val="00F95557"/>
    <w:rsid w:val="00FA00E1"/>
    <w:rsid w:val="00FA1266"/>
    <w:rsid w:val="00FA4FA2"/>
    <w:rsid w:val="00FA6502"/>
    <w:rsid w:val="00FB1D62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560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32</cp:revision>
  <cp:lastPrinted>2018-04-03T14:56:00Z</cp:lastPrinted>
  <dcterms:created xsi:type="dcterms:W3CDTF">2021-01-31T13:52:00Z</dcterms:created>
  <dcterms:modified xsi:type="dcterms:W3CDTF">2023-02-17T10:51:00Z</dcterms:modified>
</cp:coreProperties>
</file>